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861/2026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 xml:space="preserve">e demais legislações </w:t>
      </w:r>
      <w:r>
        <w:rPr>
          <w:rFonts w:ascii="Arial" w:hAnsi="Arial" w:cs="Arial"/>
          <w:sz w:val="22"/>
          <w:szCs w:val="22"/>
          <w:highlight w:val="none"/>
          <w:lang w:val="pt-PT"/>
        </w:rPr>
        <w:t>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90.046/2026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w:t>
      </w:r>
      <w:r>
        <w:rPr>
          <w:rFonts w:hint="default" w:ascii="Arial" w:hAnsi="Arial" w:cs="Arial"/>
          <w:bCs/>
          <w:iCs/>
          <w:rtl w:val="0"/>
          <w:lang w:val="pt-BR"/>
        </w:rPr>
        <w:t xml:space="preserve"> </w:t>
      </w:r>
      <w:r>
        <w:rPr>
          <w:rFonts w:hint="default" w:ascii="Arial" w:hAnsi="Arial" w:cs="Arial"/>
          <w:b/>
          <w:bCs w:val="0"/>
          <w:iCs/>
          <w:rtl w:val="0"/>
          <w:lang w:val="pt-BR"/>
        </w:rPr>
        <w:t>EMPRESA ESPECIALIZADA PARA O FORNECIMENTO DE MATERIAIS DIVERSOS DE CORTE E COSTURA (COMO TECIDOS, AGULHAS E AVIAMENTOS), PARA ATENDER AS NECESSIDADES DO CENTRO DE FORMAÇÃO DO VESTUÁRIO (CEVEST),</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tabs>
          <w:tab w:val="left" w:pos="426"/>
        </w:tabs>
        <w:jc w:val="center"/>
        <w:rPr>
          <w:rFonts w:ascii="Arial" w:hAnsi="Arial" w:cs="Arial"/>
          <w:b/>
          <w:bCs/>
          <w:i/>
          <w:iCs/>
          <w:color w:val="FF0000"/>
          <w:u w:val="single"/>
          <w:lang w:val="pt-BR"/>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single"/>
          <w:lang w:val="pt-BR"/>
        </w:rPr>
        <w:t xml:space="preserve">3.1 </w:t>
      </w:r>
      <w:r>
        <w:rPr>
          <w:rFonts w:hint="default" w:ascii="Arial" w:hAnsi="Arial" w:cs="Arial"/>
          <w:bCs/>
          <w:iCs/>
          <w:u w:val="single"/>
          <w:rtl w:val="0"/>
          <w:lang w:val="pt-BR"/>
        </w:rPr>
        <w:t>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rtl w:val="0"/>
          <w:lang w:val="pt-BR"/>
        </w:rPr>
        <w:t>3.1.1 O prazo de entrega/execução é de 07 (sete) dias úteis, contados do dia seguinte ao recebimento da Nota de Empenho, Autorização de fornecimento ou documento equivalente.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rtl w:val="0"/>
          <w:lang w:val="pt-BR"/>
        </w:rPr>
        <w:t>3.1.2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Cs/>
          <w:iCs/>
          <w:rtl w:val="0"/>
          <w:lang w:val="pt-BR"/>
        </w:rPr>
        <w:t xml:space="preserve">3.1.3 Os bens deverão ser entregues na sede da Secretaria Municipal de Ciência, Tecnologia, Inovação e Desenvolvimento Econômico, </w:t>
      </w:r>
      <w:r>
        <w:rPr>
          <w:rFonts w:hint="default" w:ascii="Arial" w:hAnsi="Arial" w:cs="Arial"/>
          <w:b/>
          <w:bCs w:val="0"/>
          <w:iCs/>
          <w:rtl w:val="0"/>
          <w:lang w:val="pt-BR"/>
        </w:rPr>
        <w:t>no seguinte endereço: Avenida Alberto Braune, nº 223 (Antiga Rodoviária Leopoldina) Centro, Nova Friburgo, de Segunda a Sexta-feira, no horário de 9h às 17h.</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rtl w:val="0"/>
          <w:lang w:val="pt-BR"/>
        </w:rPr>
        <w:t>3.1.4 Os bens serão recebidos provisoriamente, de forma sumária, no prazo de 07 (sete) dias, pelo(a) responsável pelo acompanhamento e fiscalização do contrato, para efeito de posterior verificação de sua conformidade com as especificações constantes neste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rtl w:val="0"/>
          <w:lang w:val="pt-BR"/>
        </w:rPr>
        <w:t>3.1.5 Os bens poderão ser rejeitados, no todo ou em parte, quando em desacordo com as especificações constantes no Termo de Referência e na proposta, devendo ser substituídos no prazo de 07 (sete)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rtl w:val="0"/>
          <w:lang w:val="pt-BR"/>
        </w:rPr>
        <w:t>3.1.6 Os bens serão recebidos definitivamente no prazo de 15 (quinze) dias, contados do recebimento provisório,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rtl w:val="0"/>
          <w:lang w:val="pt-BR"/>
        </w:rPr>
        <w:t xml:space="preserve">        3.1.6.1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rtl w:val="0"/>
          <w:lang w:val="pt-BR"/>
        </w:rPr>
        <w:t>3.1.7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 xml:space="preserve">3.1.8 Os materiais deverão ter garantia, no mínimo, de 90 (noventa) dias corridos, contados da data do recebimento definitivo, nos termos da legislação vigente. </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 xml:space="preserve">3.2 </w:t>
      </w:r>
      <w:r>
        <w:rPr>
          <w:rFonts w:hint="default" w:ascii="Arial" w:hAnsi="Arial" w:cs="Arial"/>
          <w:bCs/>
          <w:iCs/>
          <w:u w:val="single"/>
          <w:rtl w:val="0"/>
          <w:lang w:val="pt-BR"/>
        </w:rPr>
        <w:t>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3.2.3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3.2.4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3.2.5 A inadimplência do contratado em relação aos encargos trabalhistas, fiscais e comerciais não transfere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3.2.6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3.2.7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3.2.8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3.2.9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3.2.10       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3.2.11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 xml:space="preserve">                     3.2.11.1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 xml:space="preserve">                       3.2..11.2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 xml:space="preserve">                        3.2.11.3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3.2.13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3.2.14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rtl w:val="0"/>
          <w:lang w:val="pt-BR"/>
        </w:rPr>
      </w:pPr>
      <w:r>
        <w:rPr>
          <w:rFonts w:hint="default" w:ascii="Arial" w:hAnsi="Arial" w:cs="Arial"/>
          <w:bCs/>
          <w:iCs/>
          <w:rtl w:val="0"/>
          <w:lang w:val="pt-BR"/>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w:t>
      </w:r>
      <w:r>
        <w:rPr>
          <w:rFonts w:hint="default" w:ascii="Arial" w:hAnsi="Arial" w:cs="Arial" w:eastAsiaTheme="majorEastAsia"/>
          <w:b w:val="0"/>
          <w:bCs w:val="0"/>
          <w:rtl w:val="0"/>
          <w:lang w:val="en-US" w:eastAsia="pt-BR"/>
        </w:rPr>
        <w:t xml:space="preserve"> A Nota Fiscal deverá ser emitida em nome de: </w:t>
      </w:r>
      <w:r>
        <w:rPr>
          <w:rFonts w:hint="default" w:ascii="Arial" w:hAnsi="Arial" w:cs="Arial" w:eastAsiaTheme="majorEastAsia"/>
          <w:b/>
          <w:bCs/>
          <w:rtl w:val="0"/>
          <w:lang w:val="en-US" w:eastAsia="pt-BR"/>
        </w:rPr>
        <w:t>Município de Nova Friburgo, CNPJ: 28.606.630.0001-23, ENDEREÇO: Avenida Alberto Braune, nº 225 - Centro - Nova Friburgo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 xml:space="preserve">6.2 Todos os materiais deverão ser entregues à Secretaria Municipal de Ciência, Tecnologia, Inovação e Desenvolvimento Econômico, situada à </w:t>
      </w:r>
      <w:r>
        <w:rPr>
          <w:rFonts w:hint="default" w:ascii="Arial" w:hAnsi="Arial" w:cs="Arial" w:eastAsiaTheme="majorEastAsia"/>
          <w:b/>
          <w:bCs/>
          <w:rtl w:val="0"/>
          <w:lang w:val="en-US" w:eastAsia="pt-BR"/>
        </w:rPr>
        <w:t>Avenida Alberto Braune, nº 223 (Antiga Rodoviária Leopoldina) Centro, Nova Friburgo/RJ, de Segunda a Sexta-feira, no horário de 9h às 17h.</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 xml:space="preserve">6.3 </w:t>
      </w:r>
      <w:r>
        <w:rPr>
          <w:rFonts w:hint="default" w:ascii="Arial" w:hAnsi="Arial" w:cs="Arial" w:eastAsiaTheme="majorEastAsia"/>
          <w:b w:val="0"/>
          <w:bCs w:val="0"/>
          <w:u w:val="single"/>
          <w:rtl w:val="0"/>
          <w:lang w:val="en-US" w:eastAsia="pt-BR"/>
        </w:rPr>
        <w:t>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 xml:space="preserve">6.3.1 A liquidação será realizada pela Secretaria Municipal de Fazenda, a partir do cumprimento das obrigações elencadas neste Termo de Referência, em obediência ao Decreto nº 2493, de 07 de novembro de 2023,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rtl w:val="0"/>
          <w:lang w:val="en-US" w:eastAsia="pt-BR"/>
        </w:rPr>
        <w:t>https://pmnf.rj.gov.br/paginas-centralizadas/9_64_Legislacoes.html</w:t>
      </w:r>
      <w:r>
        <w:rPr>
          <w:rFonts w:hint="default" w:ascii="Arial" w:hAnsi="Arial" w:cs="Arial" w:eastAsiaTheme="majorEastAsia"/>
          <w:b w:val="0"/>
          <w:bCs w:val="0"/>
          <w:rtl w:val="0"/>
          <w:lang w:val="en-US" w:eastAsia="pt-BR"/>
        </w:rPr>
        <w:fldChar w:fldCharType="end"/>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rtl w:val="0"/>
          <w:lang w:val="en-US" w:eastAsia="pt-BR"/>
        </w:rPr>
        <w:t>.</w:t>
      </w:r>
      <w:r>
        <w:rPr>
          <w:rFonts w:hint="default" w:ascii="Arial" w:hAnsi="Arial" w:cs="Arial" w:eastAsiaTheme="majorEastAsia"/>
          <w:b w:val="0"/>
          <w:bCs w:val="0"/>
          <w:rtl w:val="0"/>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 xml:space="preserve">6.3.2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rtl w:val="0"/>
          <w:lang w:val="en-US" w:eastAsia="pt-BR"/>
        </w:rPr>
        <w:t>https://pmnf.rj.gov.br/paginas-centralizadas/9_64_Legislacoes.html</w:t>
      </w:r>
      <w:r>
        <w:rPr>
          <w:rFonts w:hint="default" w:ascii="Arial" w:hAnsi="Arial" w:cs="Arial" w:eastAsiaTheme="majorEastAsia"/>
          <w:b w:val="0"/>
          <w:bCs w:val="0"/>
          <w:rtl w:val="0"/>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 xml:space="preserve">6.4 </w:t>
      </w:r>
      <w:bookmarkStart w:id="4" w:name="_GoBack"/>
      <w:r>
        <w:rPr>
          <w:rFonts w:hint="default" w:ascii="Arial" w:hAnsi="Arial" w:cs="Arial" w:eastAsiaTheme="majorEastAsia"/>
          <w:b w:val="0"/>
          <w:bCs w:val="0"/>
          <w:u w:val="single"/>
          <w:rtl w:val="0"/>
          <w:lang w:val="en-US" w:eastAsia="pt-BR"/>
        </w:rPr>
        <w:t>Do pagamento da despesa:</w:t>
      </w:r>
      <w:bookmarkEnd w:id="4"/>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6.4.1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bCs/>
          <w:rtl w:val="0"/>
          <w:lang w:val="en-US" w:eastAsia="pt-BR"/>
        </w:rPr>
        <w:t>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 xml:space="preserve">6.4.2 A Nota Fiscal  deverá conter a identificação do Banco, número da Agência e da Conta Corrente, para que possibilite o CONTRATANTE efetuar o pagamento do valor devido;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6.4.3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rtl w:val="0"/>
          <w:lang w:val="en-US" w:eastAsia="pt-BR"/>
        </w:rPr>
        <w:t>6.4.4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val="0"/>
          <w:bCs w:val="0"/>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 xml:space="preserve">13.1 </w:t>
      </w:r>
      <w:r>
        <w:rPr>
          <w:rFonts w:hint="default" w:ascii="Arial" w:hAnsi="Arial" w:cs="Arial"/>
          <w:b w:val="0"/>
          <w:bCs w:val="0"/>
          <w:sz w:val="22"/>
          <w:szCs w:val="22"/>
          <w:rtl w:val="0"/>
          <w:lang w:val="pt-BR"/>
        </w:rPr>
        <w:t>As despesas decorrentes da presente contratação correrão à conta de recursos específicos consignados no Orçamento do Município, na forma abaixo:</w:t>
      </w:r>
    </w:p>
    <w:tbl>
      <w:tblPr>
        <w:tblStyle w:val="61"/>
        <w:tblW w:w="89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2940"/>
        <w:gridCol w:w="1725"/>
        <w:gridCol w:w="2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rtl w:val="0"/>
                <w:lang w:val="pt-BR"/>
              </w:rPr>
              <w:t>Órgão/Unidade Orçamentária</w:t>
            </w:r>
          </w:p>
        </w:tc>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rtl w:val="0"/>
                <w:lang w:val="pt-BR"/>
              </w:rPr>
              <w:t>Programa de Trabalho</w:t>
            </w:r>
          </w:p>
        </w:tc>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rtl w:val="0"/>
                <w:lang w:val="pt-BR"/>
              </w:rPr>
              <w:t>Fonte de Recursos</w:t>
            </w:r>
          </w:p>
        </w:tc>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rtl w:val="0"/>
                <w:lang w:val="pt-BR"/>
              </w:rPr>
              <w:t>Natureza da Despesa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rtl w:val="0"/>
                <w:lang w:val="pt-BR"/>
              </w:rPr>
              <w:t>Secretaria Municipal  de Ciência, Tecnologia, Inovação e Desenvolvimento</w:t>
            </w:r>
          </w:p>
        </w:tc>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bCs/>
                <w:sz w:val="22"/>
                <w:szCs w:val="22"/>
                <w:lang w:val="pt-BR"/>
              </w:rPr>
            </w:pPr>
            <w:r>
              <w:rPr>
                <w:rFonts w:hint="default" w:ascii="Arial" w:hAnsi="Arial" w:cs="Arial"/>
                <w:b/>
                <w:bCs/>
                <w:sz w:val="22"/>
                <w:szCs w:val="22"/>
                <w:rtl w:val="0"/>
                <w:lang w:val="pt-BR"/>
              </w:rPr>
              <w:t>08 002 19 363 0035 2.099</w:t>
            </w:r>
          </w:p>
        </w:tc>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bCs/>
                <w:sz w:val="22"/>
                <w:szCs w:val="22"/>
                <w:lang w:val="pt-BR"/>
              </w:rPr>
            </w:pPr>
            <w:r>
              <w:rPr>
                <w:rFonts w:hint="default" w:ascii="Arial" w:hAnsi="Arial" w:cs="Arial"/>
                <w:b/>
                <w:bCs/>
                <w:sz w:val="22"/>
                <w:szCs w:val="22"/>
                <w:rtl w:val="0"/>
                <w:lang w:val="pt-BR"/>
              </w:rPr>
              <w:t>172000000017</w:t>
            </w:r>
          </w:p>
        </w:tc>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34"/>
              <w:numPr>
                <w:ilvl w:val="0"/>
                <w:numId w:val="0"/>
              </w:numPr>
              <w:tabs>
                <w:tab w:val="left" w:pos="284"/>
                <w:tab w:val="left" w:pos="993"/>
              </w:tabs>
              <w:spacing w:line="276" w:lineRule="auto"/>
              <w:ind w:leftChars="0"/>
              <w:jc w:val="center"/>
              <w:rPr>
                <w:rFonts w:hint="default" w:ascii="Arial" w:hAnsi="Arial" w:cs="Arial"/>
                <w:b/>
                <w:bCs/>
                <w:sz w:val="22"/>
                <w:szCs w:val="22"/>
                <w:lang w:val="pt-BR"/>
              </w:rPr>
            </w:pPr>
            <w:r>
              <w:rPr>
                <w:rFonts w:hint="default" w:ascii="Arial" w:hAnsi="Arial" w:cs="Arial"/>
                <w:b/>
                <w:bCs/>
                <w:sz w:val="22"/>
                <w:szCs w:val="22"/>
                <w:rtl w:val="0"/>
                <w:lang w:val="pt-BR"/>
              </w:rPr>
              <w:t>339030-06</w:t>
            </w:r>
          </w:p>
        </w:tc>
      </w:tr>
    </w:tbl>
    <w:p>
      <w:pPr>
        <w:pStyle w:val="34"/>
        <w:numPr>
          <w:ilvl w:val="0"/>
          <w:numId w:val="0"/>
        </w:numPr>
        <w:tabs>
          <w:tab w:val="left" w:pos="284"/>
          <w:tab w:val="left" w:pos="993"/>
        </w:tabs>
        <w:spacing w:line="276" w:lineRule="auto"/>
        <w:ind w:leftChars="0"/>
        <w:rPr>
          <w:rFonts w:hint="default" w:ascii="Arial" w:hAnsi="Arial" w:cs="Arial"/>
          <w:b w:val="0"/>
          <w:bCs w:val="0"/>
          <w:sz w:val="22"/>
          <w:szCs w:val="22"/>
          <w:rtl w:val="0"/>
          <w:lang w:val="pt-BR"/>
        </w:rPr>
      </w:pPr>
      <w:r>
        <w:rPr>
          <w:rFonts w:hint="default" w:ascii="Arial" w:hAnsi="Arial" w:cs="Arial"/>
          <w:b w:val="0"/>
          <w:bCs w:val="0"/>
          <w:sz w:val="22"/>
          <w:szCs w:val="22"/>
          <w:rtl w:val="0"/>
          <w:lang w:val="pt-BR"/>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58815" cy="951865"/>
          <wp:effectExtent l="0" t="0" r="0" b="0"/>
          <wp:docPr id="1" name="Imagem 1" descr="Secretaria de Ciência, Tecnologia, Inovação e Desenvolvimento Econôm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Ciência, Tecnologia, Inovação e Desenvolvimento Econômico"/>
                  <pic:cNvPicPr>
                    <a:picLocks noChangeAspect="1"/>
                  </pic:cNvPicPr>
                </pic:nvPicPr>
                <pic:blipFill>
                  <a:blip r:embed="rId1"/>
                  <a:stretch>
                    <a:fillRect/>
                  </a:stretch>
                </pic:blipFill>
                <pic:spPr>
                  <a:xfrm>
                    <a:off x="0" y="0"/>
                    <a:ext cx="5758815" cy="95186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5A46BFD"/>
    <w:rsid w:val="0B6E60F4"/>
    <w:rsid w:val="11CC2ACE"/>
    <w:rsid w:val="15722398"/>
    <w:rsid w:val="176D43BE"/>
    <w:rsid w:val="1AF72D93"/>
    <w:rsid w:val="1FD12E07"/>
    <w:rsid w:val="233915F4"/>
    <w:rsid w:val="298B4D39"/>
    <w:rsid w:val="2CE97290"/>
    <w:rsid w:val="2EB77A06"/>
    <w:rsid w:val="2F1F66BC"/>
    <w:rsid w:val="31607C39"/>
    <w:rsid w:val="3C4D19A5"/>
    <w:rsid w:val="3C9967A2"/>
    <w:rsid w:val="3D361311"/>
    <w:rsid w:val="45731DCE"/>
    <w:rsid w:val="483678AA"/>
    <w:rsid w:val="4A6C1389"/>
    <w:rsid w:val="501F24D5"/>
    <w:rsid w:val="5C237373"/>
    <w:rsid w:val="5F9C0212"/>
    <w:rsid w:val="623C6820"/>
    <w:rsid w:val="655965EF"/>
    <w:rsid w:val="68532C20"/>
    <w:rsid w:val="69337D67"/>
    <w:rsid w:val="749B1192"/>
    <w:rsid w:val="77437844"/>
    <w:rsid w:val="77B2358A"/>
    <w:rsid w:val="77DA310F"/>
    <w:rsid w:val="788C7F0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locked/>
    <w:uiPriority w:val="0"/>
    <w:rPr>
      <w:rFonts w:ascii="Arial" w:hAnsi="Arial" w:cs="Arial" w:eastAsiaTheme="minorEastAsia"/>
    </w:rPr>
  </w:style>
  <w:style w:type="table" w:customStyle="1" w:styleId="61">
    <w:name w:val="_Style 71"/>
    <w:basedOn w:val="62"/>
    <w:qFormat/>
    <w:uiPriority w:val="0"/>
    <w:tblPr>
      <w:tblCellMar>
        <w:top w:w="0" w:type="dxa"/>
        <w:left w:w="108" w:type="dxa"/>
        <w:bottom w:w="0" w:type="dxa"/>
        <w:right w:w="108" w:type="dxa"/>
      </w:tblCellMar>
    </w:tblPr>
  </w:style>
  <w:style w:type="table" w:customStyle="1" w:styleId="62">
    <w:name w:val="TableNormal"/>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4</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2026-04-28T13:54:03Z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